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Georgia" w:cs="Georgia" w:eastAsia="Georgia" w:hAnsi="Georgia"/>
          <w:b/>
          <w:bCs/>
          <w:color w:val="1B2A4A"/>
          <w:sz w:val="34"/>
          <w:szCs w:val="34"/>
        </w:rPr>
        <w:t xml:space="preserve">Wendy McEntyre</w:t>
      </w:r>
    </w:p>
    <w:p>
      <w:pPr>
        <w:spacing w:after="40"/>
        <w:jc w:val="center"/>
      </w:pPr>
      <w:r>
        <w:rPr>
          <w:rFonts w:ascii="Georgia" w:cs="Georgia" w:eastAsia="Georgia" w:hAnsi="Georgia"/>
          <w:i/>
          <w:iCs/>
          <w:color w:val="B8963E"/>
          <w:sz w:val="20"/>
          <w:szCs w:val="20"/>
        </w:rPr>
        <w:t xml:space="preserve">Founder &amp; Public Safety Advocate — Jarrod's Law</w:t>
      </w:r>
    </w:p>
    <w:p>
      <w:pPr>
        <w:pBdr>
          <w:bottom w:val="single" w:color="1B2A4A" w:sz="6" w:space="8"/>
        </w:pBdr>
        <w:spacing w:after="200"/>
        <w:jc w:val="center"/>
      </w:pPr>
      <w:r>
        <w:rPr>
          <w:rFonts w:ascii="Georgia" w:cs="Georgia" w:eastAsia="Georgia" w:hAnsi="Georgia"/>
          <w:color w:val="222222"/>
          <w:sz w:val="20"/>
          <w:szCs w:val="20"/>
        </w:rPr>
        <w:t xml:space="preserve">NCAIF Presentation — “Brokers, Doctors and Dollars” — September 17, 2026</w:t>
      </w:r>
    </w:p>
    <w:p>
      <w:pPr>
        <w:spacing w:after="240"/>
      </w:pPr>
      <w:r>
        <w:rPr>
          <w:rFonts w:ascii="Georgia" w:cs="Georgia" w:eastAsia="Georgia" w:hAnsi="Georgia"/>
          <w:b/>
          <w:bCs/>
          <w:color w:val="1B2A4A"/>
          <w:sz w:val="28"/>
          <w:szCs w:val="28"/>
        </w:rPr>
        <w:t xml:space="preserve">Personal Story Talking Points</w:t>
      </w:r>
    </w:p>
    <w:p>
      <w:pPr>
        <w:spacing w:after="60" w:before="200"/>
      </w:pPr>
      <w:r>
        <w:rPr>
          <w:rFonts w:ascii="Georgia" w:cs="Georgia" w:eastAsia="Georgia" w:hAnsi="Georgia"/>
          <w:b/>
          <w:bCs/>
          <w:color w:val="B8963E"/>
          <w:sz w:val="24"/>
          <w:szCs w:val="24"/>
        </w:rPr>
        <w:t xml:space="preserve">1. </w:t>
      </w:r>
      <w:r>
        <w:rPr>
          <w:rFonts w:ascii="Georgia" w:cs="Georgia" w:eastAsia="Georgia" w:hAnsi="Georgia"/>
          <w:b/>
          <w:bCs/>
          <w:color w:val="1B2A4A"/>
          <w:sz w:val="24"/>
          <w:szCs w:val="24"/>
        </w:rPr>
        <w:t xml:space="preserve">The irony that started it all</w:t>
      </w:r>
    </w:p>
    <w:p>
      <w:pPr>
        <w:spacing w:after="60"/>
        <w:ind w:left="360"/>
      </w:pPr>
      <w:r>
        <w:rPr>
          <w:rFonts w:ascii="Garamond" w:cs="Garamond" w:eastAsia="Garamond" w:hAnsi="Garamond"/>
          <w:color w:val="222222"/>
          <w:sz w:val="22"/>
          <w:szCs w:val="22"/>
        </w:rPr>
        <w:t xml:space="preserve">Jarrod died in 2004 at a place called “The Safe House.” He wasn’t safe at all. That contradiction is the seed of everything I’ve built since.</w:t>
      </w:r>
    </w:p>
    <w:p>
      <w:pPr>
        <w:spacing w:after="60" w:before="200"/>
      </w:pPr>
      <w:r>
        <w:rPr>
          <w:rFonts w:ascii="Georgia" w:cs="Georgia" w:eastAsia="Georgia" w:hAnsi="Georgia"/>
          <w:b/>
          <w:bCs/>
          <w:color w:val="B8963E"/>
          <w:sz w:val="24"/>
          <w:szCs w:val="24"/>
        </w:rPr>
        <w:t xml:space="preserve">2. </w:t>
      </w:r>
      <w:r>
        <w:rPr>
          <w:rFonts w:ascii="Georgia" w:cs="Georgia" w:eastAsia="Georgia" w:hAnsi="Georgia"/>
          <w:b/>
          <w:bCs/>
          <w:color w:val="1B2A4A"/>
          <w:sz w:val="24"/>
          <w:szCs w:val="24"/>
        </w:rPr>
        <w:t xml:space="preserve">The $600 vs. $6,000 line</w:t>
      </w:r>
    </w:p>
    <w:p>
      <w:pPr>
        <w:spacing w:after="60"/>
        <w:ind w:left="360"/>
      </w:pPr>
      <w:r>
        <w:rPr>
          <w:rFonts w:ascii="Garamond" w:cs="Garamond" w:eastAsia="Garamond" w:hAnsi="Garamond"/>
          <w:color w:val="222222"/>
          <w:sz w:val="22"/>
          <w:szCs w:val="22"/>
        </w:rPr>
        <w:t xml:space="preserve">Whether a family pays $600 a month or $6,000 a day, they’re paying for a second set of eyes on their loved one, at minimum. Over 20 years later, that basic promise still isn’t being kept.</w:t>
      </w:r>
    </w:p>
    <w:p>
      <w:pPr>
        <w:spacing w:after="60" w:before="200"/>
      </w:pPr>
      <w:r>
        <w:rPr>
          <w:rFonts w:ascii="Georgia" w:cs="Georgia" w:eastAsia="Georgia" w:hAnsi="Georgia"/>
          <w:b/>
          <w:bCs/>
          <w:color w:val="B8963E"/>
          <w:sz w:val="24"/>
          <w:szCs w:val="24"/>
        </w:rPr>
        <w:t xml:space="preserve">3. </w:t>
      </w:r>
      <w:r>
        <w:rPr>
          <w:rFonts w:ascii="Georgia" w:cs="Georgia" w:eastAsia="Georgia" w:hAnsi="Georgia"/>
          <w:b/>
          <w:bCs/>
          <w:color w:val="1B2A4A"/>
          <w:sz w:val="24"/>
          <w:szCs w:val="24"/>
        </w:rPr>
        <w:t xml:space="preserve">The trusted-counselor trap</w:t>
      </w:r>
    </w:p>
    <w:p>
      <w:pPr>
        <w:spacing w:after="60"/>
        <w:ind w:left="360"/>
      </w:pPr>
      <w:r>
        <w:rPr>
          <w:rFonts w:ascii="Garamond" w:cs="Garamond" w:eastAsia="Garamond" w:hAnsi="Garamond"/>
          <w:color w:val="222222"/>
          <w:sz w:val="22"/>
          <w:szCs w:val="22"/>
        </w:rPr>
        <w:t xml:space="preserve">In crisis, parents believe they’re reaching a trained counselor. Too often it’s a body broker whose paycheck depends on where they place your child, not whether it’s the right fit.</w:t>
      </w:r>
    </w:p>
    <w:p>
      <w:pPr>
        <w:spacing w:after="60" w:before="200"/>
      </w:pPr>
      <w:r>
        <w:rPr>
          <w:rFonts w:ascii="Georgia" w:cs="Georgia" w:eastAsia="Georgia" w:hAnsi="Georgia"/>
          <w:b/>
          <w:bCs/>
          <w:color w:val="B8963E"/>
          <w:sz w:val="24"/>
          <w:szCs w:val="24"/>
        </w:rPr>
        <w:t xml:space="preserve">4. </w:t>
      </w:r>
      <w:r>
        <w:rPr>
          <w:rFonts w:ascii="Georgia" w:cs="Georgia" w:eastAsia="Georgia" w:hAnsi="Georgia"/>
          <w:b/>
          <w:bCs/>
          <w:color w:val="1B2A4A"/>
          <w:sz w:val="24"/>
          <w:szCs w:val="24"/>
        </w:rPr>
        <w:t xml:space="preserve">The insurance paradox</w:t>
      </w:r>
    </w:p>
    <w:p>
      <w:pPr>
        <w:spacing w:after="60"/>
        <w:ind w:left="360"/>
      </w:pPr>
      <w:r>
        <w:rPr>
          <w:rFonts w:ascii="Garamond" w:cs="Garamond" w:eastAsia="Garamond" w:hAnsi="Garamond"/>
          <w:color w:val="222222"/>
          <w:sz w:val="22"/>
          <w:szCs w:val="22"/>
        </w:rPr>
        <w:t xml:space="preserve">The better your insurance, the more valuable — and sometimes the more at-risk — your loved one becomes to a system built on referral fees.</w:t>
      </w:r>
    </w:p>
    <w:p>
      <w:pPr>
        <w:spacing w:after="60" w:before="200"/>
      </w:pPr>
      <w:r>
        <w:rPr>
          <w:rFonts w:ascii="Georgia" w:cs="Georgia" w:eastAsia="Georgia" w:hAnsi="Georgia"/>
          <w:b/>
          <w:bCs/>
          <w:color w:val="B8963E"/>
          <w:sz w:val="24"/>
          <w:szCs w:val="24"/>
        </w:rPr>
        <w:t xml:space="preserve">5. </w:t>
      </w:r>
      <w:r>
        <w:rPr>
          <w:rFonts w:ascii="Georgia" w:cs="Georgia" w:eastAsia="Georgia" w:hAnsi="Georgia"/>
          <w:b/>
          <w:bCs/>
          <w:color w:val="1B2A4A"/>
          <w:sz w:val="24"/>
          <w:szCs w:val="24"/>
        </w:rPr>
        <w:t xml:space="preserve">The 3-day oversight gap</w:t>
      </w:r>
    </w:p>
    <w:p>
      <w:pPr>
        <w:spacing w:after="60"/>
        <w:ind w:left="360"/>
      </w:pPr>
      <w:r>
        <w:rPr>
          <w:rFonts w:ascii="Garamond" w:cs="Garamond" w:eastAsia="Garamond" w:hAnsi="Garamond"/>
          <w:color w:val="222222"/>
          <w:sz w:val="22"/>
          <w:szCs w:val="22"/>
        </w:rPr>
        <w:t xml:space="preserve">In private-pay facilities, real oversight often exists for the first 3 days only. After that, families are on their own.</w:t>
      </w:r>
    </w:p>
    <w:p>
      <w:pPr>
        <w:spacing w:after="60" w:before="200"/>
      </w:pPr>
      <w:r>
        <w:rPr>
          <w:rFonts w:ascii="Georgia" w:cs="Georgia" w:eastAsia="Georgia" w:hAnsi="Georgia"/>
          <w:b/>
          <w:bCs/>
          <w:color w:val="B8963E"/>
          <w:sz w:val="24"/>
          <w:szCs w:val="24"/>
        </w:rPr>
        <w:t xml:space="preserve">6. </w:t>
      </w:r>
      <w:r>
        <w:rPr>
          <w:rFonts w:ascii="Georgia" w:cs="Georgia" w:eastAsia="Georgia" w:hAnsi="Georgia"/>
          <w:b/>
          <w:bCs/>
          <w:color w:val="1B2A4A"/>
          <w:sz w:val="24"/>
          <w:szCs w:val="24"/>
        </w:rPr>
        <w:t xml:space="preserve">The math of who has teeth</w:t>
      </w:r>
    </w:p>
    <w:p>
      <w:pPr>
        <w:spacing w:after="60"/>
        <w:ind w:left="360"/>
      </w:pPr>
      <w:r>
        <w:rPr>
          <w:rFonts w:ascii="Garamond" w:cs="Garamond" w:eastAsia="Garamond" w:hAnsi="Garamond"/>
          <w:color w:val="222222"/>
          <w:sz w:val="22"/>
          <w:szCs w:val="22"/>
        </w:rPr>
        <w:t xml:space="preserve">Of roughly 1,912 facilities in California, only about 373 take government dollars — which means only those have investigators with real enforcement power behind them.</w:t>
      </w:r>
    </w:p>
    <w:p>
      <w:pPr>
        <w:spacing w:after="60" w:before="200"/>
      </w:pPr>
      <w:r>
        <w:rPr>
          <w:rFonts w:ascii="Georgia" w:cs="Georgia" w:eastAsia="Georgia" w:hAnsi="Georgia"/>
          <w:b/>
          <w:bCs/>
          <w:color w:val="B8963E"/>
          <w:sz w:val="24"/>
          <w:szCs w:val="24"/>
        </w:rPr>
        <w:t xml:space="preserve">7. </w:t>
      </w:r>
      <w:r>
        <w:rPr>
          <w:rFonts w:ascii="Georgia" w:cs="Georgia" w:eastAsia="Georgia" w:hAnsi="Georgia"/>
          <w:b/>
          <w:bCs/>
          <w:color w:val="1B2A4A"/>
          <w:sz w:val="24"/>
          <w:szCs w:val="24"/>
        </w:rPr>
        <w:t xml:space="preserve">The bait-and-switch geography</w:t>
      </w:r>
    </w:p>
    <w:p>
      <w:pPr>
        <w:spacing w:after="60"/>
        <w:ind w:left="360"/>
      </w:pPr>
      <w:r>
        <w:rPr>
          <w:rFonts w:ascii="Garamond" w:cs="Garamond" w:eastAsia="Garamond" w:hAnsi="Garamond"/>
          <w:color w:val="222222"/>
          <w:sz w:val="22"/>
          <w:szCs w:val="22"/>
        </w:rPr>
        <w:t xml:space="preserve">The beautiful beach house in the glossy web ad is real for 3 days. Then it’s on to an unlicensed placement across town for the rest of the stay, with no oversight because the state doesn’t count it as “licenseable services.”</w:t>
      </w:r>
    </w:p>
    <w:p>
      <w:pPr>
        <w:spacing w:after="60" w:before="200"/>
      </w:pPr>
      <w:r>
        <w:rPr>
          <w:rFonts w:ascii="Georgia" w:cs="Georgia" w:eastAsia="Georgia" w:hAnsi="Georgia"/>
          <w:b/>
          <w:bCs/>
          <w:color w:val="B8963E"/>
          <w:sz w:val="24"/>
          <w:szCs w:val="24"/>
        </w:rPr>
        <w:t xml:space="preserve">8. </w:t>
      </w:r>
      <w:r>
        <w:rPr>
          <w:rFonts w:ascii="Georgia" w:cs="Georgia" w:eastAsia="Georgia" w:hAnsi="Georgia"/>
          <w:b/>
          <w:bCs/>
          <w:color w:val="1B2A4A"/>
          <w:sz w:val="24"/>
          <w:szCs w:val="24"/>
        </w:rPr>
        <w:t xml:space="preserve">Oxford House vs. today</w:t>
      </w:r>
    </w:p>
    <w:p>
      <w:pPr>
        <w:spacing w:after="60"/>
        <w:ind w:left="360"/>
      </w:pPr>
      <w:r>
        <w:rPr>
          <w:rFonts w:ascii="Garamond" w:cs="Garamond" w:eastAsia="Garamond" w:hAnsi="Garamond"/>
          <w:color w:val="222222"/>
          <w:sz w:val="22"/>
          <w:szCs w:val="22"/>
        </w:rPr>
        <w:t xml:space="preserve">The real sober living model — 1970s Oxford House, independent people with jobs living together — barely exists anymore. Today’s version is a captive piece of a treatment facility’s continuum of care.</w:t>
      </w:r>
    </w:p>
    <w:p>
      <w:pPr>
        <w:spacing w:after="60" w:before="200"/>
      </w:pPr>
      <w:r>
        <w:rPr>
          <w:rFonts w:ascii="Georgia" w:cs="Georgia" w:eastAsia="Georgia" w:hAnsi="Georgia"/>
          <w:b/>
          <w:bCs/>
          <w:color w:val="B8963E"/>
          <w:sz w:val="24"/>
          <w:szCs w:val="24"/>
        </w:rPr>
        <w:t xml:space="preserve">9. </w:t>
      </w:r>
      <w:r>
        <w:rPr>
          <w:rFonts w:ascii="Georgia" w:cs="Georgia" w:eastAsia="Georgia" w:hAnsi="Georgia"/>
          <w:b/>
          <w:bCs/>
          <w:color w:val="1B2A4A"/>
          <w:sz w:val="24"/>
          <w:szCs w:val="24"/>
        </w:rPr>
        <w:t xml:space="preserve">Before vs. after the ACA</w:t>
      </w:r>
    </w:p>
    <w:p>
      <w:pPr>
        <w:spacing w:after="60"/>
        <w:ind w:left="360"/>
      </w:pPr>
      <w:r>
        <w:rPr>
          <w:rFonts w:ascii="Garamond" w:cs="Garamond" w:eastAsia="Garamond" w:hAnsi="Garamond"/>
          <w:color w:val="222222"/>
          <w:sz w:val="22"/>
          <w:szCs w:val="22"/>
        </w:rPr>
        <w:t xml:space="preserve">Before the Affordable Care Act, I got calls from parents who couldn’t afford to bury their child. After it mandated addiction coverage “like a broken arm,” insurance dollars opened the floodgates — and became the engine driving the fraud.</w:t>
      </w:r>
    </w:p>
    <w:p>
      <w:pPr>
        <w:spacing w:after="60" w:before="200"/>
      </w:pPr>
      <w:r>
        <w:rPr>
          <w:rFonts w:ascii="Georgia" w:cs="Georgia" w:eastAsia="Georgia" w:hAnsi="Georgia"/>
          <w:b/>
          <w:bCs/>
          <w:color w:val="B8963E"/>
          <w:sz w:val="24"/>
          <w:szCs w:val="24"/>
        </w:rPr>
        <w:t xml:space="preserve">10. </w:t>
      </w:r>
      <w:r>
        <w:rPr>
          <w:rFonts w:ascii="Georgia" w:cs="Georgia" w:eastAsia="Georgia" w:hAnsi="Georgia"/>
          <w:b/>
          <w:bCs/>
          <w:color w:val="1B2A4A"/>
          <w:sz w:val="24"/>
          <w:szCs w:val="24"/>
        </w:rPr>
        <w:t xml:space="preserve">Why Shaddi, Vincent, and Todd matter</w:t>
      </w:r>
    </w:p>
    <w:p>
      <w:pPr>
        <w:spacing w:after="60"/>
        <w:ind w:left="360"/>
      </w:pPr>
      <w:r>
        <w:rPr>
          <w:rFonts w:ascii="Garamond" w:cs="Garamond" w:eastAsia="Garamond" w:hAnsi="Garamond"/>
          <w:color w:val="222222"/>
          <w:sz w:val="22"/>
          <w:szCs w:val="22"/>
        </w:rPr>
        <w:t xml:space="preserve">Civil court can hit someone in the wallet, but real justice — the kind with teeth — only happens when prosecutors and investigators like the three of them step in. I see the data every day; they deliver the consequences.</w:t>
      </w:r>
    </w:p>
    <w:p>
      <w:pPr>
        <w:pBdr>
          <w:top w:val="single" w:color="B8963E" w:sz="4" w:space="8"/>
        </w:pBdr>
        <w:spacing w:after="100" w:before="300"/>
      </w:pPr>
      <w:r>
        <w:rPr>
          <w:rFonts w:ascii="Georgia" w:cs="Georgia" w:eastAsia="Georgia" w:hAnsi="Georgia"/>
          <w:b/>
          <w:bCs/>
          <w:color w:val="1B2A4A"/>
          <w:sz w:val="24"/>
          <w:szCs w:val="24"/>
        </w:rPr>
        <w:t xml:space="preserve">Closing Line</w:t>
      </w:r>
    </w:p>
    <w:p>
      <w:pPr>
        <w:spacing w:after="60"/>
        <w:ind w:left="360"/>
      </w:pPr>
      <w:r>
        <w:rPr>
          <w:rFonts w:ascii="Garamond" w:cs="Garamond" w:eastAsia="Garamond" w:hAnsi="Garamond"/>
          <w:i/>
          <w:iCs/>
          <w:color w:val="222222"/>
          <w:sz w:val="22"/>
          <w:szCs w:val="22"/>
        </w:rPr>
        <w:t xml:space="preserve">If today’s numbers made your stomach turn, don’t stop at the data. Ben Flattery’s award-winning documentary The Shuffle premieres at UCLA on October 18th — it puts a human face on everything we’ve discussed. And on August 31st, International Overdose Awareness Day, I’m launching Treatment on Trial — a platform built to document these cases in the open, in real time, so families never have to fight this alone. Both are on my website. This industry has hidden in the dark for twenty years. Our job now is to make sure it can't anymore.</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2026-09-16T19:02:51.916Z</dcterms:created>
  <dcterms:modified xsi:type="dcterms:W3CDTF">2026-09-16T19:02:51.924Z</dcterms:modified>
</cp:coreProperties>
</file>

<file path=docProps/custom.xml><?xml version="1.0" encoding="utf-8"?>
<Properties xmlns="http://schemas.openxmlformats.org/officeDocument/2006/custom-properties" xmlns:vt="http://schemas.openxmlformats.org/officeDocument/2006/docPropsVTypes"/>
</file>